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36"/>
          <w:szCs w:val="36"/>
          <w:u w:val="single"/>
        </w:rPr>
      </w:pPr>
      <w:r>
        <w:rPr>
          <w:b w:val="1"/>
          <w:bCs w:val="1"/>
          <w:sz w:val="36"/>
          <w:szCs w:val="36"/>
          <w:u w:val="single"/>
          <w:rtl w:val="0"/>
          <w:lang w:val="en-US"/>
        </w:rPr>
        <w:t>Financial System - Deposit Institutions</w:t>
      </w:r>
    </w:p>
    <w:p>
      <w:pPr>
        <w:pStyle w:val="Body"/>
        <w:bidi w:val="0"/>
      </w:pPr>
    </w:p>
    <w:tbl>
      <w:tblPr>
        <w:tblW w:w="9340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4670"/>
        <w:gridCol w:w="4670"/>
      </w:tblGrid>
      <w:tr>
        <w:tblPrEx>
          <w:shd w:val="clear" w:color="auto" w:fill="bdc0bf"/>
        </w:tblPrEx>
        <w:trPr>
          <w:trHeight w:val="546" w:hRule="atLeast"/>
          <w:tblHeader/>
        </w:trPr>
        <w:tc>
          <w:tcPr>
            <w:tcW w:type="dxa" w:w="46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Commercial Banks</w:t>
            </w:r>
          </w:p>
        </w:tc>
        <w:tc>
          <w:tcPr>
            <w:tcW w:type="dxa" w:w="46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Credit Unions</w:t>
            </w:r>
          </w:p>
        </w:tc>
      </w:tr>
      <w:tr>
        <w:tblPrEx>
          <w:shd w:val="clear" w:color="auto" w:fill="auto"/>
        </w:tblPrEx>
        <w:trPr>
          <w:trHeight w:val="3052" w:hRule="atLeast"/>
        </w:trPr>
        <w:tc>
          <w:tcPr>
            <w:tcW w:type="dxa" w:w="46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/>
        </w:tc>
        <w:tc>
          <w:tcPr>
            <w:tcW w:type="dxa" w:w="46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Body"/>
              <w:bidi w:val="0"/>
            </w:pPr>
          </w:p>
          <w:p>
            <w:pPr>
              <w:pStyle w:val="Body"/>
              <w:bidi w:val="0"/>
            </w:pPr>
          </w:p>
        </w:tc>
      </w:tr>
    </w:tbl>
    <w:p>
      <w:pPr>
        <w:pStyle w:val="Body"/>
        <w:rPr>
          <w:b w:val="1"/>
          <w:bCs w:val="1"/>
          <w:sz w:val="28"/>
          <w:szCs w:val="28"/>
          <w:u w:val="single"/>
          <w:lang w:val="en-US"/>
        </w:rPr>
      </w:pPr>
    </w:p>
    <w:p>
      <w:pPr>
        <w:pStyle w:val="Body"/>
        <w:rPr>
          <w:b w:val="1"/>
          <w:bCs w:val="1"/>
          <w:sz w:val="28"/>
          <w:szCs w:val="28"/>
          <w:u w:val="single"/>
          <w:lang w:val="en-US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 xml:space="preserve">FDIC 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 xml:space="preserve">NCUA 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 xml:space="preserve">Deposit 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Checking Account 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Savings Account - </w:t>
      </w: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 xml:space="preserve">CD 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 xml:space="preserve">Interest 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 xml:space="preserve">Loan 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en-US"/>
        </w:rPr>
        <w:t>Types of Loans: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Electronic Funds Transfer (EFT)</w:t>
      </w:r>
    </w:p>
    <w:p>
      <w:pPr>
        <w:pStyle w:val="Body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Body"/>
        <w:rPr>
          <w:b w:val="1"/>
          <w:bCs w:val="1"/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en-US"/>
        </w:rPr>
        <w:t>Examples:</w:t>
      </w: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Safety Deposit Box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s-ES_tradnl"/>
        </w:rPr>
        <w:t>Financial Advisor</w:t>
      </w: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0"/>
          <w:bCs w:val="0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Investment</w:t>
      </w:r>
    </w:p>
    <w:p>
      <w:pPr>
        <w:pStyle w:val="Body"/>
        <w:rPr>
          <w:b w:val="0"/>
          <w:bCs w:val="0"/>
          <w:sz w:val="20"/>
          <w:szCs w:val="20"/>
        </w:rPr>
      </w:pPr>
    </w:p>
    <w:p>
      <w:pPr>
        <w:pStyle w:val="Body"/>
        <w:rPr>
          <w:b w:val="0"/>
          <w:bCs w:val="0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Trust</w:t>
      </w:r>
    </w:p>
    <w:p>
      <w:pPr>
        <w:pStyle w:val="Body"/>
        <w:rPr>
          <w:b w:val="0"/>
          <w:bCs w:val="0"/>
          <w:sz w:val="20"/>
          <w:szCs w:val="20"/>
        </w:rPr>
      </w:pPr>
    </w:p>
    <w:p>
      <w:pPr>
        <w:pStyle w:val="Body"/>
      </w:pPr>
      <w:r>
        <w:rPr>
          <w:b w:val="1"/>
          <w:bCs w:val="1"/>
          <w:sz w:val="20"/>
          <w:szCs w:val="20"/>
          <w:rtl w:val="0"/>
        </w:rPr>
        <w:t>Federal Reserv</w:t>
      </w:r>
      <w:r>
        <w:rPr>
          <w:b w:val="1"/>
          <w:bCs w:val="1"/>
          <w:sz w:val="20"/>
          <w:szCs w:val="20"/>
          <w:rtl w:val="0"/>
          <w:lang w:val="en-US"/>
        </w:rPr>
        <w:t>e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